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CB" w:rsidRPr="00601C9B" w:rsidRDefault="006222CB" w:rsidP="006222C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601C9B">
        <w:rPr>
          <w:rFonts w:ascii="Times New Roman" w:eastAsia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>
        <w:rPr>
          <w:rFonts w:ascii="Times New Roman" w:hAnsi="Times New Roman" w:cs="Times New Roman"/>
          <w:sz w:val="20"/>
          <w:szCs w:val="20"/>
        </w:rPr>
        <w:t>595-600</w:t>
      </w:r>
    </w:p>
    <w:p w:rsidR="006222CB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highlight w:val="lightGray"/>
        </w:rPr>
      </w:pP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042E5F">
        <w:rPr>
          <w:rFonts w:ascii="Cambria" w:hAnsi="Cambria" w:cs="Times New Roman"/>
          <w:b/>
          <w:bCs/>
          <w:color w:val="000000"/>
          <w:sz w:val="24"/>
          <w:szCs w:val="24"/>
          <w:highlight w:val="lightGray"/>
        </w:rPr>
        <w:t>Original article: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>Non-comminuted extra</w:t>
      </w:r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softHyphen/>
        <w:t>-</w:t>
      </w:r>
      <w:proofErr w:type="spellStart"/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>articular</w:t>
      </w:r>
      <w:proofErr w:type="spellEnd"/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 xml:space="preserve"> fractures of distal radius treated with </w:t>
      </w:r>
      <w:proofErr w:type="spellStart"/>
      <w:proofErr w:type="gramStart"/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>Percutaneous</w:t>
      </w:r>
      <w:proofErr w:type="spellEnd"/>
      <w:proofErr w:type="gramEnd"/>
      <w:r w:rsidRPr="00042E5F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 xml:space="preserve"> pinning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iCs/>
          <w:color w:val="000000"/>
          <w:sz w:val="20"/>
          <w:szCs w:val="20"/>
        </w:rPr>
      </w:pPr>
      <w:proofErr w:type="spellStart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>Manikandan</w:t>
      </w:r>
      <w:proofErr w:type="spellEnd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 xml:space="preserve"> K, </w:t>
      </w:r>
      <w:proofErr w:type="spellStart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>Khisankumar</w:t>
      </w:r>
      <w:proofErr w:type="spellEnd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 xml:space="preserve"> PN, </w:t>
      </w:r>
      <w:proofErr w:type="spellStart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>Arunprasath</w:t>
      </w:r>
      <w:proofErr w:type="spellEnd"/>
      <w:r w:rsidRPr="00042E5F">
        <w:rPr>
          <w:rFonts w:ascii="Cambria" w:hAnsi="Cambria" w:cs="Times New Roman"/>
          <w:b/>
          <w:iCs/>
          <w:color w:val="000000"/>
          <w:sz w:val="20"/>
          <w:szCs w:val="20"/>
        </w:rPr>
        <w:t xml:space="preserve"> .C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Cambria" w:hAnsi="Cambria" w:cs="Times New Roman"/>
          <w:color w:val="222222"/>
          <w:sz w:val="18"/>
          <w:szCs w:val="18"/>
          <w:shd w:val="clear" w:color="auto" w:fill="FFFFFF"/>
        </w:rPr>
      </w:pPr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Department of orthopedics, </w:t>
      </w:r>
      <w:proofErr w:type="spellStart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Kalitheerthalkuppam</w:t>
      </w:r>
      <w:proofErr w:type="spellEnd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Madagadipet</w:t>
      </w:r>
      <w:proofErr w:type="spellEnd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Puducherry</w:t>
      </w:r>
      <w:proofErr w:type="spellEnd"/>
      <w:r w:rsidRPr="00042E5F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, Tamil Nadu</w:t>
      </w:r>
      <w:r w:rsidRPr="00042E5F">
        <w:rPr>
          <w:rStyle w:val="apple-converted-space"/>
          <w:rFonts w:ascii="Cambria" w:hAnsi="Cambria" w:cs="Times New Roman"/>
          <w:color w:val="222222"/>
          <w:sz w:val="18"/>
          <w:szCs w:val="18"/>
          <w:shd w:val="clear" w:color="auto" w:fill="FFFFFF"/>
        </w:rPr>
        <w:t> </w:t>
      </w:r>
    </w:p>
    <w:p w:rsidR="006222CB" w:rsidRDefault="006222CB" w:rsidP="006222C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iCs/>
          <w:color w:val="000000"/>
          <w:sz w:val="18"/>
          <w:szCs w:val="18"/>
        </w:rPr>
      </w:pPr>
      <w:r w:rsidRPr="00042E5F">
        <w:rPr>
          <w:rStyle w:val="apple-converted-space"/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Corresponding author: </w:t>
      </w:r>
      <w:proofErr w:type="spellStart"/>
      <w:r w:rsidRPr="00042E5F">
        <w:rPr>
          <w:rFonts w:ascii="Cambria" w:hAnsi="Cambria" w:cs="Times New Roman"/>
          <w:iCs/>
          <w:color w:val="000000"/>
          <w:sz w:val="18"/>
          <w:szCs w:val="18"/>
        </w:rPr>
        <w:t>Manikandan</w:t>
      </w:r>
      <w:proofErr w:type="spellEnd"/>
      <w:r w:rsidRPr="00042E5F">
        <w:rPr>
          <w:rFonts w:ascii="Cambria" w:hAnsi="Cambria" w:cs="Times New Roman"/>
          <w:iCs/>
          <w:color w:val="000000"/>
          <w:sz w:val="18"/>
          <w:szCs w:val="18"/>
        </w:rPr>
        <w:t xml:space="preserve"> K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color w:val="000000"/>
          <w:sz w:val="18"/>
          <w:szCs w:val="18"/>
        </w:rPr>
      </w:pP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42E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Abstract</w:t>
      </w:r>
    </w:p>
    <w:p w:rsidR="006222CB" w:rsidRPr="00042E5F" w:rsidRDefault="006222CB" w:rsidP="006222CB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E5F">
        <w:rPr>
          <w:rFonts w:ascii="Times New Roman" w:hAnsi="Times New Roman" w:cs="Times New Roman"/>
          <w:b/>
          <w:bCs/>
          <w:sz w:val="18"/>
          <w:szCs w:val="18"/>
        </w:rPr>
        <w:t xml:space="preserve">Background: </w:t>
      </w:r>
      <w:r w:rsidRPr="00042E5F">
        <w:rPr>
          <w:rFonts w:ascii="Times New Roman" w:hAnsi="Times New Roman" w:cs="Times New Roman"/>
          <w:sz w:val="18"/>
          <w:szCs w:val="18"/>
        </w:rPr>
        <w:t>Various treatment modalities have been described for the treatment of extra-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articular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distal radius fractures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eachwith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its own merits and demerits. Most of the work done with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pinning has shown a significant residual stiffness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ofthe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hand and wrist. Our technique involves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pinning of the fracture and immobilization in neutral position of the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wristfor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three weeks. This study’s aim was to examine the functional outcome of 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K-wiring of these extra-</w:t>
      </w:r>
      <w:proofErr w:type="spellStart"/>
      <w:r w:rsidRPr="00042E5F">
        <w:rPr>
          <w:rFonts w:ascii="Times New Roman" w:hAnsi="Times New Roman" w:cs="Times New Roman"/>
          <w:sz w:val="18"/>
          <w:szCs w:val="18"/>
        </w:rPr>
        <w:t>articular</w:t>
      </w:r>
      <w:proofErr w:type="spellEnd"/>
      <w:r w:rsidRPr="00042E5F">
        <w:rPr>
          <w:rFonts w:ascii="Times New Roman" w:hAnsi="Times New Roman" w:cs="Times New Roman"/>
          <w:sz w:val="18"/>
          <w:szCs w:val="18"/>
        </w:rPr>
        <w:t xml:space="preserve"> distal radius fractures with immobilization in neutral position of the wrist.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2E5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Materials and Methods:    </w:t>
      </w:r>
      <w:r w:rsidRPr="00042E5F">
        <w:rPr>
          <w:rFonts w:ascii="Times New Roman" w:hAnsi="Times New Roman" w:cs="Times New Roman"/>
          <w:color w:val="000000"/>
          <w:sz w:val="18"/>
          <w:szCs w:val="18"/>
        </w:rPr>
        <w:t>This is a prospective study of 40 patients aged between 18 and 60 years with extra-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articular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distal radius fracture. Patients were treated with closed reduction and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pinning using two or three K-wires. A below- elbow plaster of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parisdorsoradial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slab was applied in neutral position of the wrist for 3 weeks. At the end of 3 weeks, the slab was removed and wrist physiotherapy started. The radiographs were taken postoperatively, at 3 weeks, 6 weeks and 3 months. The functional evaluation of the patients was done at 6 months follow-up. We used Sarmiento’s modification of Lindstrom criteria and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Gartland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Werley’s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criteria for evaluation of results.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2E5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Results: </w:t>
      </w:r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Excellent to good results were seen in 87.5% of the cases while 12.5% had fair results. The complications observed were pin loosening (n=10), pin tract infection (n=2),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malunion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(n=2), wrist joint stiffness (n=2), reduced grip strength (n=2) and injury to the superficial radial nerve (n=1).</w:t>
      </w:r>
    </w:p>
    <w:p w:rsidR="006222CB" w:rsidRPr="00042E5F" w:rsidRDefault="006222CB" w:rsidP="00622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2E5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Conclusion: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pinning followed by immobilization of the wrist in neutral position is a simple and effective method to maintain reduction and prevent stiffness of wrist and hand.</w:t>
      </w:r>
    </w:p>
    <w:p w:rsidR="006222CB" w:rsidRPr="00042E5F" w:rsidRDefault="006222CB" w:rsidP="006222C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2E5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Key words: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Extraarticular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distal radius fracture, immobilization with wrist in neutral position, </w:t>
      </w:r>
      <w:proofErr w:type="spellStart"/>
      <w:r w:rsidRPr="00042E5F">
        <w:rPr>
          <w:rFonts w:ascii="Times New Roman" w:hAnsi="Times New Roman" w:cs="Times New Roman"/>
          <w:color w:val="000000"/>
          <w:sz w:val="18"/>
          <w:szCs w:val="18"/>
        </w:rPr>
        <w:t>percutaneous</w:t>
      </w:r>
      <w:proofErr w:type="spellEnd"/>
      <w:r w:rsidRPr="00042E5F">
        <w:rPr>
          <w:rFonts w:ascii="Times New Roman" w:hAnsi="Times New Roman" w:cs="Times New Roman"/>
          <w:color w:val="000000"/>
          <w:sz w:val="18"/>
          <w:szCs w:val="18"/>
        </w:rPr>
        <w:t xml:space="preserve"> pinning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222CB"/>
    <w:rsid w:val="000061B3"/>
    <w:rsid w:val="0006104F"/>
    <w:rsid w:val="001170B6"/>
    <w:rsid w:val="00274F00"/>
    <w:rsid w:val="003C3D73"/>
    <w:rsid w:val="004B274B"/>
    <w:rsid w:val="006222CB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2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222CB"/>
  </w:style>
  <w:style w:type="paragraph" w:styleId="Header">
    <w:name w:val="header"/>
    <w:basedOn w:val="Normal"/>
    <w:link w:val="HeaderChar"/>
    <w:uiPriority w:val="99"/>
    <w:unhideWhenUsed/>
    <w:rsid w:val="0062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2016-04-07T09:07:00Z</dcterms:created>
  <dcterms:modified xsi:type="dcterms:W3CDTF">2016-04-07T09:08:00Z</dcterms:modified>
</cp:coreProperties>
</file>